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21" w:rsidRDefault="003E6521">
      <w:pPr>
        <w:rPr>
          <w:sz w:val="24"/>
          <w:szCs w:val="24"/>
        </w:rPr>
      </w:pPr>
      <w:bookmarkStart w:id="0" w:name="_GoBack"/>
      <w:bookmarkEnd w:id="0"/>
    </w:p>
    <w:p w:rsidR="003E6521" w:rsidRDefault="003E6521">
      <w:pPr>
        <w:rPr>
          <w:sz w:val="24"/>
          <w:szCs w:val="24"/>
        </w:rPr>
      </w:pPr>
    </w:p>
    <w:p w:rsidR="003E6521" w:rsidRDefault="00D46539">
      <w:pPr>
        <w:rPr>
          <w:sz w:val="24"/>
          <w:szCs w:val="24"/>
        </w:rPr>
      </w:pPr>
      <w:r>
        <w:rPr>
          <w:sz w:val="24"/>
          <w:szCs w:val="24"/>
        </w:rPr>
        <w:t>May 2017</w:t>
      </w:r>
    </w:p>
    <w:p w:rsidR="003E6521" w:rsidRDefault="003E6521">
      <w:pPr>
        <w:rPr>
          <w:sz w:val="24"/>
          <w:szCs w:val="24"/>
        </w:rPr>
      </w:pPr>
    </w:p>
    <w:p w:rsidR="003E6521" w:rsidRDefault="00D46539">
      <w:pPr>
        <w:rPr>
          <w:sz w:val="24"/>
          <w:szCs w:val="24"/>
        </w:rPr>
      </w:pPr>
      <w:r>
        <w:rPr>
          <w:sz w:val="24"/>
          <w:szCs w:val="24"/>
        </w:rPr>
        <w:t>Dear Teachers, Parents, and Students:</w:t>
      </w:r>
    </w:p>
    <w:p w:rsidR="003E6521" w:rsidRDefault="003E6521">
      <w:pPr>
        <w:rPr>
          <w:sz w:val="24"/>
          <w:szCs w:val="24"/>
        </w:rPr>
      </w:pPr>
    </w:p>
    <w:p w:rsidR="003E6521" w:rsidRDefault="00D46539">
      <w:pPr>
        <w:rPr>
          <w:sz w:val="24"/>
          <w:szCs w:val="24"/>
        </w:rPr>
      </w:pPr>
      <w:r>
        <w:rPr>
          <w:sz w:val="24"/>
          <w:szCs w:val="24"/>
        </w:rPr>
        <w:t xml:space="preserve">This year’s summer reading theme is “Build a Better World” and the Michigan </w:t>
      </w:r>
      <w:proofErr w:type="spellStart"/>
      <w:r>
        <w:rPr>
          <w:sz w:val="24"/>
          <w:szCs w:val="24"/>
        </w:rPr>
        <w:t>eLibrary</w:t>
      </w:r>
      <w:proofErr w:type="spellEnd"/>
      <w:r>
        <w:rPr>
          <w:sz w:val="24"/>
          <w:szCs w:val="24"/>
        </w:rPr>
        <w:t xml:space="preserve"> (</w:t>
      </w:r>
      <w:proofErr w:type="spellStart"/>
      <w:r>
        <w:rPr>
          <w:sz w:val="24"/>
          <w:szCs w:val="24"/>
        </w:rPr>
        <w:t>MeL</w:t>
      </w:r>
      <w:proofErr w:type="spellEnd"/>
      <w:r>
        <w:rPr>
          <w:sz w:val="24"/>
          <w:szCs w:val="24"/>
        </w:rPr>
        <w:t xml:space="preserve">) is here to help! Students of all ages can go to </w:t>
      </w:r>
      <w:hyperlink r:id="rId7">
        <w:r>
          <w:rPr>
            <w:color w:val="1155CC"/>
            <w:sz w:val="24"/>
            <w:szCs w:val="24"/>
            <w:u w:val="single"/>
          </w:rPr>
          <w:t>MeL.org</w:t>
        </w:r>
      </w:hyperlink>
      <w:r>
        <w:rPr>
          <w:sz w:val="24"/>
          <w:szCs w:val="24"/>
        </w:rPr>
        <w:t xml:space="preserve"> to find eBooks and articles to read, conduct research, prepare for high stakes tests like the SAT</w:t>
      </w:r>
      <w:r>
        <w:rPr>
          <w:sz w:val="24"/>
          <w:szCs w:val="24"/>
          <w:vertAlign w:val="superscript"/>
        </w:rPr>
        <w:t>®</w:t>
      </w:r>
      <w:r>
        <w:rPr>
          <w:sz w:val="24"/>
          <w:szCs w:val="24"/>
        </w:rPr>
        <w:t xml:space="preserve">, or maintain/improve basic skills. </w:t>
      </w:r>
    </w:p>
    <w:p w:rsidR="003E6521" w:rsidRDefault="003E6521">
      <w:pPr>
        <w:rPr>
          <w:sz w:val="24"/>
          <w:szCs w:val="24"/>
        </w:rPr>
      </w:pPr>
    </w:p>
    <w:p w:rsidR="003E6521" w:rsidRDefault="00D46539">
      <w:pPr>
        <w:rPr>
          <w:sz w:val="24"/>
          <w:szCs w:val="24"/>
        </w:rPr>
      </w:pPr>
      <w:proofErr w:type="spellStart"/>
      <w:r>
        <w:rPr>
          <w:sz w:val="24"/>
          <w:szCs w:val="24"/>
        </w:rPr>
        <w:t>MeL</w:t>
      </w:r>
      <w:proofErr w:type="spellEnd"/>
      <w:r>
        <w:rPr>
          <w:sz w:val="24"/>
          <w:szCs w:val="24"/>
        </w:rPr>
        <w:t xml:space="preserve"> provides all Michigan residents </w:t>
      </w:r>
      <w:r>
        <w:rPr>
          <w:b/>
          <w:sz w:val="24"/>
          <w:szCs w:val="24"/>
        </w:rPr>
        <w:t xml:space="preserve">free </w:t>
      </w:r>
      <w:r>
        <w:rPr>
          <w:sz w:val="24"/>
          <w:szCs w:val="24"/>
        </w:rPr>
        <w:t>access to quality, vetted subscription databases that can be used all year.  R</w:t>
      </w:r>
      <w:r>
        <w:rPr>
          <w:sz w:val="24"/>
          <w:szCs w:val="24"/>
        </w:rPr>
        <w:t xml:space="preserve">esources are available 24/7 and are mobile compatible.  Our awesome content providers have created a few short videos for you that highlight their resources for summer use; you can check them out on the </w:t>
      </w:r>
      <w:proofErr w:type="spellStart"/>
      <w:r>
        <w:rPr>
          <w:sz w:val="24"/>
          <w:szCs w:val="24"/>
        </w:rPr>
        <w:t>MeL</w:t>
      </w:r>
      <w:proofErr w:type="spellEnd"/>
      <w:r>
        <w:rPr>
          <w:sz w:val="24"/>
          <w:szCs w:val="24"/>
        </w:rPr>
        <w:t xml:space="preserve"> YouTube channel playlist  “</w:t>
      </w:r>
      <w:hyperlink r:id="rId8">
        <w:r>
          <w:rPr>
            <w:color w:val="1155CC"/>
            <w:sz w:val="24"/>
            <w:szCs w:val="24"/>
            <w:u w:val="single"/>
          </w:rPr>
          <w:t>Summer Slide Videos from our Partners</w:t>
        </w:r>
      </w:hyperlink>
      <w:r>
        <w:rPr>
          <w:sz w:val="24"/>
          <w:szCs w:val="24"/>
        </w:rPr>
        <w:t>” : (</w:t>
      </w:r>
      <w:hyperlink r:id="rId9">
        <w:r>
          <w:rPr>
            <w:rFonts w:ascii="Roboto" w:eastAsia="Roboto" w:hAnsi="Roboto" w:cs="Roboto"/>
            <w:color w:val="1155CC"/>
            <w:sz w:val="24"/>
            <w:szCs w:val="24"/>
            <w:u w:val="single"/>
          </w:rPr>
          <w:t>https://goo.gl/fDC4Be</w:t>
        </w:r>
      </w:hyperlink>
      <w:r>
        <w:rPr>
          <w:sz w:val="24"/>
          <w:szCs w:val="24"/>
        </w:rPr>
        <w:t xml:space="preserve">). While you are </w:t>
      </w:r>
      <w:proofErr w:type="gramStart"/>
      <w:r>
        <w:rPr>
          <w:sz w:val="24"/>
          <w:szCs w:val="24"/>
        </w:rPr>
        <w:t>there,  be</w:t>
      </w:r>
      <w:proofErr w:type="gramEnd"/>
      <w:r>
        <w:rPr>
          <w:sz w:val="24"/>
          <w:szCs w:val="24"/>
        </w:rPr>
        <w:t xml:space="preserve"> sure to subscribe to the </w:t>
      </w:r>
      <w:proofErr w:type="spellStart"/>
      <w:r>
        <w:rPr>
          <w:sz w:val="24"/>
          <w:szCs w:val="24"/>
        </w:rPr>
        <w:t>MeL</w:t>
      </w:r>
      <w:proofErr w:type="spellEnd"/>
      <w:r>
        <w:rPr>
          <w:sz w:val="24"/>
          <w:szCs w:val="24"/>
        </w:rPr>
        <w:t xml:space="preserve"> Channel, so you can keep </w:t>
      </w:r>
      <w:r>
        <w:rPr>
          <w:sz w:val="24"/>
          <w:szCs w:val="24"/>
        </w:rPr>
        <w:t xml:space="preserve">up to date with the latest tutorials and videos from </w:t>
      </w:r>
      <w:proofErr w:type="spellStart"/>
      <w:r>
        <w:rPr>
          <w:sz w:val="24"/>
          <w:szCs w:val="24"/>
        </w:rPr>
        <w:t>MeL</w:t>
      </w:r>
      <w:proofErr w:type="spellEnd"/>
      <w:r>
        <w:rPr>
          <w:sz w:val="24"/>
          <w:szCs w:val="24"/>
        </w:rPr>
        <w:t>!</w:t>
      </w:r>
    </w:p>
    <w:p w:rsidR="003E6521" w:rsidRDefault="003E6521">
      <w:pPr>
        <w:rPr>
          <w:sz w:val="24"/>
          <w:szCs w:val="24"/>
        </w:rPr>
      </w:pPr>
    </w:p>
    <w:p w:rsidR="003E6521" w:rsidRDefault="00D46539">
      <w:pPr>
        <w:rPr>
          <w:sz w:val="24"/>
          <w:szCs w:val="24"/>
        </w:rPr>
      </w:pPr>
      <w:r>
        <w:rPr>
          <w:sz w:val="24"/>
          <w:szCs w:val="24"/>
        </w:rPr>
        <w:t xml:space="preserve">Within </w:t>
      </w:r>
      <w:proofErr w:type="spellStart"/>
      <w:r>
        <w:rPr>
          <w:sz w:val="24"/>
          <w:szCs w:val="24"/>
        </w:rPr>
        <w:t>MeL</w:t>
      </w:r>
      <w:proofErr w:type="spellEnd"/>
      <w:r>
        <w:rPr>
          <w:sz w:val="24"/>
          <w:szCs w:val="24"/>
        </w:rPr>
        <w:t xml:space="preserve">, you can find quality resources and </w:t>
      </w:r>
      <w:proofErr w:type="spellStart"/>
      <w:r>
        <w:rPr>
          <w:sz w:val="24"/>
          <w:szCs w:val="24"/>
        </w:rPr>
        <w:t>weblinks</w:t>
      </w:r>
      <w:proofErr w:type="spellEnd"/>
      <w:r>
        <w:rPr>
          <w:sz w:val="24"/>
          <w:szCs w:val="24"/>
        </w:rPr>
        <w:t xml:space="preserve"> organized into convenient portals.  For children from birth to 5th grade, </w:t>
      </w:r>
      <w:hyperlink r:id="rId10">
        <w:proofErr w:type="spellStart"/>
        <w:r>
          <w:rPr>
            <w:color w:val="1155CC"/>
            <w:sz w:val="24"/>
            <w:szCs w:val="24"/>
            <w:u w:val="single"/>
          </w:rPr>
          <w:t>MeL</w:t>
        </w:r>
        <w:proofErr w:type="spellEnd"/>
        <w:r>
          <w:rPr>
            <w:color w:val="1155CC"/>
            <w:sz w:val="24"/>
            <w:szCs w:val="24"/>
            <w:u w:val="single"/>
          </w:rPr>
          <w:t xml:space="preserve"> Kids</w:t>
        </w:r>
      </w:hyperlink>
      <w:r>
        <w:rPr>
          <w:sz w:val="24"/>
          <w:szCs w:val="24"/>
        </w:rPr>
        <w:t xml:space="preserve"> (</w:t>
      </w:r>
      <w:hyperlink r:id="rId11">
        <w:r>
          <w:rPr>
            <w:color w:val="1155CC"/>
            <w:sz w:val="24"/>
            <w:szCs w:val="24"/>
            <w:u w:val="single"/>
          </w:rPr>
          <w:t>kids.mel.org</w:t>
        </w:r>
      </w:hyperlink>
      <w:r>
        <w:rPr>
          <w:sz w:val="24"/>
          <w:szCs w:val="24"/>
        </w:rPr>
        <w:t xml:space="preserve">) has four centers that will help support and build basic skills such as reading and math.  For the older students in grades 6 through 12, </w:t>
      </w:r>
      <w:hyperlink r:id="rId12">
        <w:proofErr w:type="spellStart"/>
        <w:r>
          <w:rPr>
            <w:color w:val="1155CC"/>
            <w:sz w:val="24"/>
            <w:szCs w:val="24"/>
            <w:u w:val="single"/>
          </w:rPr>
          <w:t>MeL</w:t>
        </w:r>
        <w:proofErr w:type="spellEnd"/>
        <w:r>
          <w:rPr>
            <w:color w:val="1155CC"/>
            <w:sz w:val="24"/>
            <w:szCs w:val="24"/>
            <w:u w:val="single"/>
          </w:rPr>
          <w:t xml:space="preserve"> Teens</w:t>
        </w:r>
      </w:hyperlink>
      <w:r>
        <w:rPr>
          <w:sz w:val="24"/>
          <w:szCs w:val="24"/>
        </w:rPr>
        <w:t xml:space="preserve"> (</w:t>
      </w:r>
      <w:hyperlink r:id="rId13">
        <w:r>
          <w:rPr>
            <w:color w:val="1155CC"/>
            <w:sz w:val="24"/>
            <w:szCs w:val="24"/>
            <w:u w:val="single"/>
          </w:rPr>
          <w:t>teens.mel.org</w:t>
        </w:r>
      </w:hyperlink>
      <w:r>
        <w:rPr>
          <w:sz w:val="24"/>
          <w:szCs w:val="24"/>
        </w:rPr>
        <w:t>) offers a wealth of resources to not only maintain and build basic skills, but also improve research skills and help students prepare for life after high school with college or career information.  You can easily access the subscri</w:t>
      </w:r>
      <w:r>
        <w:rPr>
          <w:sz w:val="24"/>
          <w:szCs w:val="24"/>
        </w:rPr>
        <w:t xml:space="preserve">ption databases in the Homework Help sections of these portals, or simply go to the </w:t>
      </w:r>
      <w:hyperlink r:id="rId14">
        <w:r>
          <w:rPr>
            <w:color w:val="1155CC"/>
            <w:sz w:val="24"/>
            <w:szCs w:val="24"/>
            <w:u w:val="single"/>
          </w:rPr>
          <w:t>A to Z database list</w:t>
        </w:r>
      </w:hyperlink>
      <w:r>
        <w:rPr>
          <w:sz w:val="24"/>
          <w:szCs w:val="24"/>
        </w:rPr>
        <w:t xml:space="preserve"> (</w:t>
      </w:r>
      <w:hyperlink r:id="rId15">
        <w:r>
          <w:rPr>
            <w:color w:val="1155CC"/>
            <w:sz w:val="24"/>
            <w:szCs w:val="24"/>
            <w:u w:val="single"/>
          </w:rPr>
          <w:t>databases.mel.org</w:t>
        </w:r>
      </w:hyperlink>
      <w:r>
        <w:rPr>
          <w:sz w:val="24"/>
          <w:szCs w:val="24"/>
        </w:rPr>
        <w:t xml:space="preserve">). </w:t>
      </w:r>
    </w:p>
    <w:p w:rsidR="003E6521" w:rsidRDefault="003E6521">
      <w:pPr>
        <w:rPr>
          <w:sz w:val="24"/>
          <w:szCs w:val="24"/>
        </w:rPr>
      </w:pPr>
    </w:p>
    <w:p w:rsidR="003E6521" w:rsidRDefault="00D46539">
      <w:pPr>
        <w:rPr>
          <w:sz w:val="24"/>
          <w:szCs w:val="24"/>
        </w:rPr>
      </w:pPr>
      <w:r>
        <w:rPr>
          <w:sz w:val="24"/>
          <w:szCs w:val="24"/>
        </w:rPr>
        <w:t>This summer, stop by your local public l</w:t>
      </w:r>
      <w:r>
        <w:rPr>
          <w:sz w:val="24"/>
          <w:szCs w:val="24"/>
        </w:rPr>
        <w:t xml:space="preserve">ibrary for programming and learning opportunities. But don’t forget to also use some of the Michigan </w:t>
      </w:r>
      <w:proofErr w:type="spellStart"/>
      <w:r>
        <w:rPr>
          <w:sz w:val="24"/>
          <w:szCs w:val="24"/>
        </w:rPr>
        <w:t>eLibrary’s</w:t>
      </w:r>
      <w:proofErr w:type="spellEnd"/>
      <w:r>
        <w:rPr>
          <w:sz w:val="24"/>
          <w:szCs w:val="24"/>
        </w:rPr>
        <w:t xml:space="preserve"> popular K-12 databases featured in the attached table. Dive into </w:t>
      </w:r>
      <w:proofErr w:type="spellStart"/>
      <w:r>
        <w:rPr>
          <w:sz w:val="24"/>
          <w:szCs w:val="24"/>
        </w:rPr>
        <w:t>MeL</w:t>
      </w:r>
      <w:proofErr w:type="spellEnd"/>
      <w:r>
        <w:rPr>
          <w:sz w:val="24"/>
          <w:szCs w:val="24"/>
        </w:rPr>
        <w:t xml:space="preserve"> to help slow down the summer slide and “Build a Better World”!</w:t>
      </w:r>
    </w:p>
    <w:p w:rsidR="003E6521" w:rsidRDefault="003E6521">
      <w:pPr>
        <w:rPr>
          <w:sz w:val="24"/>
          <w:szCs w:val="24"/>
        </w:rPr>
      </w:pPr>
    </w:p>
    <w:p w:rsidR="003E6521" w:rsidRDefault="00D46539">
      <w:pPr>
        <w:rPr>
          <w:sz w:val="24"/>
          <w:szCs w:val="24"/>
        </w:rPr>
      </w:pPr>
      <w:r>
        <w:rPr>
          <w:sz w:val="24"/>
          <w:szCs w:val="24"/>
        </w:rPr>
        <w:t>Sincerely,</w:t>
      </w:r>
    </w:p>
    <w:p w:rsidR="003E6521" w:rsidRDefault="00D46539">
      <w:pPr>
        <w:rPr>
          <w:sz w:val="24"/>
          <w:szCs w:val="24"/>
        </w:rPr>
      </w:pPr>
      <w:r>
        <w:rPr>
          <w:sz w:val="24"/>
          <w:szCs w:val="24"/>
        </w:rPr>
        <w:t xml:space="preserve">The Michigan </w:t>
      </w:r>
      <w:proofErr w:type="spellStart"/>
      <w:r>
        <w:rPr>
          <w:sz w:val="24"/>
          <w:szCs w:val="24"/>
        </w:rPr>
        <w:t>eLibrary</w:t>
      </w:r>
      <w:proofErr w:type="spellEnd"/>
      <w:r>
        <w:rPr>
          <w:sz w:val="24"/>
          <w:szCs w:val="24"/>
        </w:rPr>
        <w:t xml:space="preserve"> Team</w:t>
      </w:r>
    </w:p>
    <w:p w:rsidR="003E6521" w:rsidRDefault="00D46539">
      <w:pPr>
        <w:rPr>
          <w:sz w:val="24"/>
          <w:szCs w:val="24"/>
        </w:rPr>
      </w:pPr>
      <w:r>
        <w:rPr>
          <w:noProof/>
        </w:rPr>
        <w:lastRenderedPageBreak/>
        <w:drawing>
          <wp:anchor distT="19050" distB="19050" distL="19050" distR="19050" simplePos="0" relativeHeight="251658240" behindDoc="0" locked="0" layoutInCell="0" hidden="0" allowOverlap="1">
            <wp:simplePos x="0" y="0"/>
            <wp:positionH relativeFrom="margin">
              <wp:posOffset>485775</wp:posOffset>
            </wp:positionH>
            <wp:positionV relativeFrom="paragraph">
              <wp:posOffset>152400</wp:posOffset>
            </wp:positionV>
            <wp:extent cx="519113" cy="752713"/>
            <wp:effectExtent l="0" t="0" r="0" b="0"/>
            <wp:wrapSquare wrapText="bothSides" distT="19050" distB="19050" distL="19050" distR="1905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l="16773" r="2037" b="7381"/>
                    <a:stretch>
                      <a:fillRect/>
                    </a:stretch>
                  </pic:blipFill>
                  <pic:spPr>
                    <a:xfrm>
                      <a:off x="0" y="0"/>
                      <a:ext cx="519113" cy="752713"/>
                    </a:xfrm>
                    <a:prstGeom prst="rect">
                      <a:avLst/>
                    </a:prstGeom>
                    <a:ln/>
                  </pic:spPr>
                </pic:pic>
              </a:graphicData>
            </a:graphic>
          </wp:anchor>
        </w:drawing>
      </w:r>
    </w:p>
    <w:p w:rsidR="003E6521" w:rsidRDefault="00D46539">
      <w:r>
        <w:br w:type="page"/>
      </w:r>
    </w:p>
    <w:p w:rsidR="003E6521" w:rsidRDefault="003E6521">
      <w:pPr>
        <w:rPr>
          <w:sz w:val="24"/>
          <w:szCs w:val="24"/>
        </w:rPr>
      </w:pPr>
    </w:p>
    <w:p w:rsidR="003E6521" w:rsidRDefault="003E6521">
      <w:pPr>
        <w:rPr>
          <w:sz w:val="24"/>
          <w:szCs w:val="24"/>
        </w:rPr>
      </w:pPr>
    </w:p>
    <w:tbl>
      <w:tblPr>
        <w:tblStyle w:val="a"/>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65"/>
        <w:gridCol w:w="5820"/>
      </w:tblGrid>
      <w:tr w:rsidR="003E6521">
        <w:trPr>
          <w:jc w:val="center"/>
        </w:trPr>
        <w:tc>
          <w:tcPr>
            <w:tcW w:w="2310" w:type="dxa"/>
            <w:tcMar>
              <w:top w:w="100" w:type="dxa"/>
              <w:left w:w="100" w:type="dxa"/>
              <w:bottom w:w="100" w:type="dxa"/>
              <w:right w:w="100" w:type="dxa"/>
            </w:tcMar>
          </w:tcPr>
          <w:p w:rsidR="003E6521" w:rsidRDefault="00D46539">
            <w:pPr>
              <w:jc w:val="center"/>
              <w:rPr>
                <w:b/>
              </w:rPr>
            </w:pPr>
            <w:r>
              <w:rPr>
                <w:b/>
              </w:rPr>
              <w:t>Database Name</w:t>
            </w:r>
          </w:p>
        </w:tc>
        <w:tc>
          <w:tcPr>
            <w:tcW w:w="1665" w:type="dxa"/>
            <w:tcMar>
              <w:top w:w="100" w:type="dxa"/>
              <w:left w:w="100" w:type="dxa"/>
              <w:bottom w:w="100" w:type="dxa"/>
              <w:right w:w="100" w:type="dxa"/>
            </w:tcMar>
          </w:tcPr>
          <w:p w:rsidR="003E6521" w:rsidRDefault="00D46539">
            <w:pPr>
              <w:widowControl w:val="0"/>
              <w:spacing w:line="240" w:lineRule="auto"/>
              <w:jc w:val="center"/>
              <w:rPr>
                <w:b/>
                <w:sz w:val="20"/>
                <w:szCs w:val="20"/>
              </w:rPr>
            </w:pPr>
            <w:r>
              <w:rPr>
                <w:b/>
                <w:sz w:val="20"/>
                <w:szCs w:val="20"/>
              </w:rPr>
              <w:t>Grade Level</w:t>
            </w:r>
          </w:p>
        </w:tc>
        <w:tc>
          <w:tcPr>
            <w:tcW w:w="5820" w:type="dxa"/>
            <w:tcMar>
              <w:top w:w="100" w:type="dxa"/>
              <w:left w:w="100" w:type="dxa"/>
              <w:bottom w:w="100" w:type="dxa"/>
              <w:right w:w="100" w:type="dxa"/>
            </w:tcMar>
          </w:tcPr>
          <w:p w:rsidR="003E6521" w:rsidRDefault="00D46539">
            <w:pPr>
              <w:widowControl w:val="0"/>
              <w:spacing w:line="240" w:lineRule="auto"/>
              <w:jc w:val="center"/>
              <w:rPr>
                <w:b/>
              </w:rPr>
            </w:pPr>
            <w:r>
              <w:rPr>
                <w:b/>
              </w:rPr>
              <w:t>Features</w:t>
            </w:r>
          </w:p>
        </w:tc>
      </w:tr>
      <w:tr w:rsidR="003E6521">
        <w:trPr>
          <w:trHeight w:val="1400"/>
          <w:jc w:val="center"/>
        </w:trPr>
        <w:tc>
          <w:tcPr>
            <w:tcW w:w="2310" w:type="dxa"/>
            <w:tcMar>
              <w:top w:w="100" w:type="dxa"/>
              <w:left w:w="100" w:type="dxa"/>
              <w:bottom w:w="100" w:type="dxa"/>
              <w:right w:w="100" w:type="dxa"/>
            </w:tcMar>
            <w:vAlign w:val="center"/>
          </w:tcPr>
          <w:p w:rsidR="003E6521" w:rsidRDefault="00D46539">
            <w:pPr>
              <w:rPr>
                <w:sz w:val="18"/>
                <w:szCs w:val="18"/>
              </w:rPr>
            </w:pPr>
            <w:hyperlink r:id="rId17">
              <w:r>
                <w:rPr>
                  <w:color w:val="1155CC"/>
                  <w:sz w:val="18"/>
                  <w:szCs w:val="18"/>
                  <w:u w:val="single"/>
                </w:rPr>
                <w:t>Britannica School</w:t>
              </w:r>
            </w:hyperlink>
          </w:p>
          <w:p w:rsidR="003E6521" w:rsidRDefault="00D46539">
            <w:pPr>
              <w:rPr>
                <w:sz w:val="18"/>
                <w:szCs w:val="18"/>
              </w:rPr>
            </w:pPr>
            <w:hyperlink r:id="rId18">
              <w:r>
                <w:rPr>
                  <w:color w:val="1155CC"/>
                  <w:sz w:val="18"/>
                  <w:szCs w:val="18"/>
                  <w:u w:val="single"/>
                </w:rPr>
                <w:t>Britannica Learning Zone</w:t>
              </w:r>
            </w:hyperlink>
          </w:p>
          <w:p w:rsidR="003E6521" w:rsidRDefault="00D46539">
            <w:pPr>
              <w:rPr>
                <w:sz w:val="18"/>
                <w:szCs w:val="18"/>
              </w:rPr>
            </w:pPr>
            <w:hyperlink r:id="rId19">
              <w:r>
                <w:rPr>
                  <w:color w:val="1155CC"/>
                  <w:sz w:val="18"/>
                  <w:szCs w:val="18"/>
                  <w:u w:val="single"/>
                </w:rPr>
                <w:t>Britannica Elementary</w:t>
              </w:r>
            </w:hyperlink>
          </w:p>
          <w:p w:rsidR="003E6521" w:rsidRDefault="00D46539">
            <w:pPr>
              <w:rPr>
                <w:sz w:val="18"/>
                <w:szCs w:val="18"/>
              </w:rPr>
            </w:pPr>
            <w:hyperlink r:id="rId20">
              <w:r>
                <w:rPr>
                  <w:color w:val="1155CC"/>
                  <w:sz w:val="18"/>
                  <w:szCs w:val="18"/>
                  <w:u w:val="single"/>
                </w:rPr>
                <w:t>Britannica Middle</w:t>
              </w:r>
            </w:hyperlink>
          </w:p>
          <w:p w:rsidR="003E6521" w:rsidRDefault="00D46539">
            <w:pPr>
              <w:rPr>
                <w:sz w:val="18"/>
                <w:szCs w:val="18"/>
              </w:rPr>
            </w:pPr>
            <w:hyperlink r:id="rId21">
              <w:r>
                <w:rPr>
                  <w:color w:val="1155CC"/>
                  <w:sz w:val="18"/>
                  <w:szCs w:val="18"/>
                  <w:u w:val="single"/>
                </w:rPr>
                <w:t>Britannica High</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proofErr w:type="spellStart"/>
            <w:r>
              <w:rPr>
                <w:sz w:val="20"/>
                <w:szCs w:val="20"/>
              </w:rPr>
              <w:t>PreK</w:t>
            </w:r>
            <w:proofErr w:type="spellEnd"/>
            <w:r>
              <w:rPr>
                <w:sz w:val="20"/>
                <w:szCs w:val="20"/>
              </w:rPr>
              <w:t xml:space="preserve"> - 12</w:t>
            </w:r>
          </w:p>
        </w:tc>
        <w:tc>
          <w:tcPr>
            <w:tcW w:w="5820" w:type="dxa"/>
            <w:tcMar>
              <w:top w:w="100" w:type="dxa"/>
              <w:left w:w="100" w:type="dxa"/>
              <w:bottom w:w="100" w:type="dxa"/>
              <w:right w:w="100" w:type="dxa"/>
            </w:tcMar>
          </w:tcPr>
          <w:p w:rsidR="003E6521" w:rsidRDefault="00D46539">
            <w:pPr>
              <w:widowControl w:val="0"/>
              <w:numPr>
                <w:ilvl w:val="0"/>
                <w:numId w:val="1"/>
              </w:numPr>
              <w:spacing w:line="240" w:lineRule="auto"/>
              <w:ind w:left="315" w:hanging="360"/>
              <w:contextualSpacing/>
              <w:rPr>
                <w:sz w:val="18"/>
                <w:szCs w:val="18"/>
              </w:rPr>
            </w:pPr>
            <w:r>
              <w:rPr>
                <w:sz w:val="18"/>
                <w:szCs w:val="18"/>
              </w:rPr>
              <w:t>Change reading levels with a c</w:t>
            </w:r>
            <w:r>
              <w:rPr>
                <w:sz w:val="18"/>
                <w:szCs w:val="18"/>
              </w:rPr>
              <w:t>lick</w:t>
            </w:r>
          </w:p>
          <w:p w:rsidR="003E6521" w:rsidRDefault="00D46539">
            <w:pPr>
              <w:widowControl w:val="0"/>
              <w:numPr>
                <w:ilvl w:val="0"/>
                <w:numId w:val="1"/>
              </w:numPr>
              <w:spacing w:line="240" w:lineRule="auto"/>
              <w:ind w:left="315" w:hanging="360"/>
              <w:contextualSpacing/>
              <w:rPr>
                <w:sz w:val="18"/>
                <w:szCs w:val="18"/>
              </w:rPr>
            </w:pPr>
            <w:r>
              <w:rPr>
                <w:sz w:val="18"/>
                <w:szCs w:val="18"/>
              </w:rPr>
              <w:t>Read aloud feature</w:t>
            </w:r>
          </w:p>
          <w:p w:rsidR="003E6521" w:rsidRDefault="00D46539">
            <w:pPr>
              <w:widowControl w:val="0"/>
              <w:numPr>
                <w:ilvl w:val="0"/>
                <w:numId w:val="1"/>
              </w:numPr>
              <w:spacing w:line="240" w:lineRule="auto"/>
              <w:ind w:left="315" w:hanging="360"/>
              <w:contextualSpacing/>
              <w:rPr>
                <w:sz w:val="18"/>
                <w:szCs w:val="18"/>
              </w:rPr>
            </w:pPr>
            <w:r>
              <w:rPr>
                <w:sz w:val="18"/>
                <w:szCs w:val="18"/>
              </w:rPr>
              <w:t>STEM resources</w:t>
            </w:r>
          </w:p>
          <w:p w:rsidR="003E6521" w:rsidRDefault="00D46539">
            <w:pPr>
              <w:widowControl w:val="0"/>
              <w:numPr>
                <w:ilvl w:val="0"/>
                <w:numId w:val="1"/>
              </w:numPr>
              <w:spacing w:line="240" w:lineRule="auto"/>
              <w:ind w:left="315" w:hanging="360"/>
              <w:contextualSpacing/>
              <w:rPr>
                <w:sz w:val="18"/>
                <w:szCs w:val="18"/>
              </w:rPr>
            </w:pPr>
            <w:r>
              <w:rPr>
                <w:sz w:val="18"/>
                <w:szCs w:val="18"/>
              </w:rPr>
              <w:t>Articles, Videos, Images, Maps, Primary Sources and more!</w:t>
            </w:r>
          </w:p>
        </w:tc>
      </w:tr>
      <w:tr w:rsidR="003E6521">
        <w:trPr>
          <w:trHeight w:val="780"/>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2">
              <w:r>
                <w:rPr>
                  <w:color w:val="1155CC"/>
                  <w:sz w:val="20"/>
                  <w:szCs w:val="20"/>
                  <w:u w:val="single"/>
                </w:rPr>
                <w:t>Early World of Learning</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proofErr w:type="spellStart"/>
            <w:r>
              <w:rPr>
                <w:sz w:val="20"/>
                <w:szCs w:val="20"/>
              </w:rPr>
              <w:t>PreK</w:t>
            </w:r>
            <w:proofErr w:type="spellEnd"/>
            <w:r>
              <w:rPr>
                <w:sz w:val="20"/>
                <w:szCs w:val="20"/>
              </w:rPr>
              <w:t xml:space="preserve"> - 2</w:t>
            </w:r>
          </w:p>
        </w:tc>
        <w:tc>
          <w:tcPr>
            <w:tcW w:w="5820" w:type="dxa"/>
            <w:tcMar>
              <w:top w:w="100" w:type="dxa"/>
              <w:left w:w="100" w:type="dxa"/>
              <w:bottom w:w="100" w:type="dxa"/>
              <w:right w:w="100" w:type="dxa"/>
            </w:tcMar>
          </w:tcPr>
          <w:p w:rsidR="003E6521" w:rsidRDefault="00D46539">
            <w:pPr>
              <w:widowControl w:val="0"/>
              <w:numPr>
                <w:ilvl w:val="0"/>
                <w:numId w:val="1"/>
              </w:numPr>
              <w:spacing w:line="240" w:lineRule="auto"/>
              <w:ind w:left="315" w:hanging="360"/>
              <w:contextualSpacing/>
              <w:rPr>
                <w:sz w:val="18"/>
                <w:szCs w:val="18"/>
              </w:rPr>
            </w:pPr>
            <w:r>
              <w:rPr>
                <w:sz w:val="18"/>
                <w:szCs w:val="18"/>
              </w:rPr>
              <w:t>Look and Read</w:t>
            </w:r>
          </w:p>
          <w:p w:rsidR="003E6521" w:rsidRDefault="00D46539">
            <w:pPr>
              <w:widowControl w:val="0"/>
              <w:numPr>
                <w:ilvl w:val="0"/>
                <w:numId w:val="1"/>
              </w:numPr>
              <w:spacing w:line="240" w:lineRule="auto"/>
              <w:ind w:left="315" w:hanging="360"/>
              <w:contextualSpacing/>
              <w:rPr>
                <w:sz w:val="18"/>
                <w:szCs w:val="18"/>
              </w:rPr>
            </w:pPr>
            <w:r>
              <w:rPr>
                <w:sz w:val="18"/>
                <w:szCs w:val="18"/>
              </w:rPr>
              <w:t>Includes stories, nursery rhymes, songs, games, and videos.</w:t>
            </w:r>
          </w:p>
        </w:tc>
      </w:tr>
      <w:tr w:rsidR="003E6521">
        <w:trPr>
          <w:trHeight w:val="1500"/>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3">
              <w:r>
                <w:rPr>
                  <w:color w:val="1155CC"/>
                  <w:sz w:val="20"/>
                  <w:szCs w:val="20"/>
                  <w:u w:val="single"/>
                </w:rPr>
                <w:t>eBooks</w:t>
              </w:r>
            </w:hyperlink>
          </w:p>
          <w:p w:rsidR="003E6521" w:rsidRDefault="00D46539">
            <w:pPr>
              <w:rPr>
                <w:sz w:val="20"/>
                <w:szCs w:val="20"/>
              </w:rPr>
            </w:pPr>
            <w:hyperlink r:id="rId24">
              <w:r>
                <w:rPr>
                  <w:color w:val="1155CC"/>
                  <w:sz w:val="20"/>
                  <w:szCs w:val="20"/>
                  <w:u w:val="single"/>
                </w:rPr>
                <w:t>eBooks K-8</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r>
              <w:rPr>
                <w:sz w:val="20"/>
                <w:szCs w:val="20"/>
              </w:rPr>
              <w:t>Pre-K - adult</w:t>
            </w:r>
          </w:p>
        </w:tc>
        <w:tc>
          <w:tcPr>
            <w:tcW w:w="5820" w:type="dxa"/>
            <w:tcMar>
              <w:top w:w="100" w:type="dxa"/>
              <w:left w:w="100" w:type="dxa"/>
              <w:bottom w:w="100" w:type="dxa"/>
              <w:right w:w="100" w:type="dxa"/>
            </w:tcMar>
          </w:tcPr>
          <w:p w:rsidR="003E6521" w:rsidRDefault="00D46539">
            <w:pPr>
              <w:widowControl w:val="0"/>
              <w:numPr>
                <w:ilvl w:val="0"/>
                <w:numId w:val="6"/>
              </w:numPr>
              <w:spacing w:line="240" w:lineRule="auto"/>
              <w:ind w:left="315" w:hanging="360"/>
              <w:contextualSpacing/>
              <w:rPr>
                <w:sz w:val="18"/>
                <w:szCs w:val="18"/>
              </w:rPr>
            </w:pPr>
            <w:r>
              <w:rPr>
                <w:sz w:val="18"/>
                <w:szCs w:val="18"/>
              </w:rPr>
              <w:t>eBooks can be downloaded or viewed via PDF version</w:t>
            </w:r>
          </w:p>
          <w:p w:rsidR="003E6521" w:rsidRDefault="00D46539">
            <w:pPr>
              <w:widowControl w:val="0"/>
              <w:numPr>
                <w:ilvl w:val="0"/>
                <w:numId w:val="6"/>
              </w:numPr>
              <w:spacing w:line="240" w:lineRule="auto"/>
              <w:ind w:left="315" w:hanging="360"/>
              <w:contextualSpacing/>
              <w:rPr>
                <w:sz w:val="18"/>
                <w:szCs w:val="18"/>
              </w:rPr>
            </w:pPr>
            <w:r>
              <w:rPr>
                <w:sz w:val="18"/>
                <w:szCs w:val="18"/>
              </w:rPr>
              <w:t>K-8 is a subset of the main collection and contains nearly 11,000 titles chosen to support a quality learning experience for K-8 students across all subject areas taught in element</w:t>
            </w:r>
            <w:r>
              <w:rPr>
                <w:sz w:val="18"/>
                <w:szCs w:val="18"/>
              </w:rPr>
              <w:t>ary and middle schools</w:t>
            </w:r>
          </w:p>
        </w:tc>
      </w:tr>
      <w:tr w:rsidR="003E6521">
        <w:trPr>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5">
              <w:r>
                <w:rPr>
                  <w:color w:val="1155CC"/>
                  <w:sz w:val="20"/>
                  <w:szCs w:val="20"/>
                  <w:u w:val="single"/>
                </w:rPr>
                <w:t xml:space="preserve">Kids </w:t>
              </w:r>
              <w:proofErr w:type="spellStart"/>
              <w:r>
                <w:rPr>
                  <w:color w:val="1155CC"/>
                  <w:sz w:val="20"/>
                  <w:szCs w:val="20"/>
                  <w:u w:val="single"/>
                </w:rPr>
                <w:t>InfoBits</w:t>
              </w:r>
              <w:proofErr w:type="spellEnd"/>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proofErr w:type="spellStart"/>
            <w:r>
              <w:rPr>
                <w:sz w:val="20"/>
                <w:szCs w:val="20"/>
              </w:rPr>
              <w:t>PreK</w:t>
            </w:r>
            <w:proofErr w:type="spellEnd"/>
            <w:r>
              <w:rPr>
                <w:sz w:val="20"/>
                <w:szCs w:val="20"/>
              </w:rPr>
              <w:t xml:space="preserve"> - 5</w:t>
            </w:r>
          </w:p>
        </w:tc>
        <w:tc>
          <w:tcPr>
            <w:tcW w:w="5820" w:type="dxa"/>
            <w:tcMar>
              <w:top w:w="100" w:type="dxa"/>
              <w:left w:w="100" w:type="dxa"/>
              <w:bottom w:w="100" w:type="dxa"/>
              <w:right w:w="100" w:type="dxa"/>
            </w:tcMar>
          </w:tcPr>
          <w:p w:rsidR="003E6521" w:rsidRDefault="00D46539">
            <w:pPr>
              <w:widowControl w:val="0"/>
              <w:numPr>
                <w:ilvl w:val="0"/>
                <w:numId w:val="3"/>
              </w:numPr>
              <w:spacing w:line="240" w:lineRule="auto"/>
              <w:ind w:left="315" w:hanging="360"/>
              <w:contextualSpacing/>
              <w:rPr>
                <w:sz w:val="18"/>
                <w:szCs w:val="18"/>
              </w:rPr>
            </w:pPr>
            <w:r>
              <w:rPr>
                <w:sz w:val="18"/>
                <w:szCs w:val="18"/>
              </w:rPr>
              <w:t>3,000 images</w:t>
            </w:r>
          </w:p>
          <w:p w:rsidR="003E6521" w:rsidRDefault="00D46539">
            <w:pPr>
              <w:widowControl w:val="0"/>
              <w:numPr>
                <w:ilvl w:val="0"/>
                <w:numId w:val="3"/>
              </w:numPr>
              <w:spacing w:line="240" w:lineRule="auto"/>
              <w:ind w:left="315" w:hanging="360"/>
              <w:contextualSpacing/>
              <w:rPr>
                <w:sz w:val="18"/>
                <w:szCs w:val="18"/>
              </w:rPr>
            </w:pPr>
            <w:r>
              <w:rPr>
                <w:sz w:val="18"/>
                <w:szCs w:val="18"/>
              </w:rPr>
              <w:t>1,700+ kid-friendly charts and graphs</w:t>
            </w:r>
          </w:p>
          <w:p w:rsidR="003E6521" w:rsidRDefault="00D46539">
            <w:pPr>
              <w:widowControl w:val="0"/>
              <w:numPr>
                <w:ilvl w:val="0"/>
                <w:numId w:val="3"/>
              </w:numPr>
              <w:spacing w:line="240" w:lineRule="auto"/>
              <w:ind w:left="315" w:hanging="360"/>
              <w:contextualSpacing/>
              <w:rPr>
                <w:sz w:val="18"/>
                <w:szCs w:val="18"/>
              </w:rPr>
            </w:pPr>
            <w:r>
              <w:rPr>
                <w:sz w:val="18"/>
                <w:szCs w:val="18"/>
              </w:rPr>
              <w:t>Nearly 600 high-quality educational videos</w:t>
            </w:r>
          </w:p>
          <w:p w:rsidR="003E6521" w:rsidRDefault="00D46539">
            <w:pPr>
              <w:widowControl w:val="0"/>
              <w:numPr>
                <w:ilvl w:val="0"/>
                <w:numId w:val="3"/>
              </w:numPr>
              <w:spacing w:line="240" w:lineRule="auto"/>
              <w:ind w:left="315" w:hanging="360"/>
              <w:contextualSpacing/>
              <w:rPr>
                <w:sz w:val="18"/>
                <w:szCs w:val="18"/>
              </w:rPr>
            </w:pPr>
            <w:r>
              <w:rPr>
                <w:sz w:val="18"/>
                <w:szCs w:val="18"/>
              </w:rPr>
              <w:t>Contains content in popular subject categories including Animals, Arts, Geography, Health, Literature, People, Social Studies, Technology, and more.</w:t>
            </w:r>
          </w:p>
        </w:tc>
      </w:tr>
      <w:tr w:rsidR="003E6521">
        <w:trPr>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6">
              <w:proofErr w:type="spellStart"/>
              <w:r>
                <w:rPr>
                  <w:color w:val="1155CC"/>
                  <w:sz w:val="20"/>
                  <w:szCs w:val="20"/>
                  <w:u w:val="single"/>
                </w:rPr>
                <w:t>LearningExpress</w:t>
              </w:r>
              <w:proofErr w:type="spellEnd"/>
              <w:r>
                <w:rPr>
                  <w:color w:val="1155CC"/>
                  <w:sz w:val="20"/>
                  <w:szCs w:val="20"/>
                  <w:u w:val="single"/>
                </w:rPr>
                <w:t xml:space="preserve"> Library</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r>
              <w:rPr>
                <w:sz w:val="20"/>
                <w:szCs w:val="20"/>
              </w:rPr>
              <w:t>4 - adult</w:t>
            </w:r>
          </w:p>
        </w:tc>
        <w:tc>
          <w:tcPr>
            <w:tcW w:w="5820" w:type="dxa"/>
            <w:tcMar>
              <w:top w:w="100" w:type="dxa"/>
              <w:left w:w="100" w:type="dxa"/>
              <w:bottom w:w="100" w:type="dxa"/>
              <w:right w:w="100" w:type="dxa"/>
            </w:tcMar>
          </w:tcPr>
          <w:p w:rsidR="003E6521" w:rsidRDefault="00D46539">
            <w:pPr>
              <w:widowControl w:val="0"/>
              <w:numPr>
                <w:ilvl w:val="0"/>
                <w:numId w:val="5"/>
              </w:numPr>
              <w:spacing w:line="240" w:lineRule="auto"/>
              <w:ind w:left="315" w:hanging="360"/>
              <w:contextualSpacing/>
              <w:rPr>
                <w:sz w:val="18"/>
                <w:szCs w:val="18"/>
              </w:rPr>
            </w:pPr>
            <w:r>
              <w:rPr>
                <w:sz w:val="18"/>
                <w:szCs w:val="18"/>
              </w:rPr>
              <w:t>Practice tests, Tutorials, and eBooks</w:t>
            </w:r>
          </w:p>
          <w:p w:rsidR="003E6521" w:rsidRDefault="00D46539">
            <w:pPr>
              <w:widowControl w:val="0"/>
              <w:numPr>
                <w:ilvl w:val="0"/>
                <w:numId w:val="5"/>
              </w:numPr>
              <w:spacing w:line="240" w:lineRule="auto"/>
              <w:ind w:left="315" w:hanging="360"/>
              <w:contextualSpacing/>
              <w:rPr>
                <w:sz w:val="18"/>
                <w:szCs w:val="18"/>
              </w:rPr>
            </w:pPr>
            <w:r>
              <w:rPr>
                <w:sz w:val="18"/>
                <w:szCs w:val="18"/>
              </w:rPr>
              <w:t>College Prep Center: SAT, ACT, PSAT practice</w:t>
            </w:r>
          </w:p>
          <w:p w:rsidR="003E6521" w:rsidRDefault="00D46539">
            <w:pPr>
              <w:widowControl w:val="0"/>
              <w:numPr>
                <w:ilvl w:val="0"/>
                <w:numId w:val="5"/>
              </w:numPr>
              <w:spacing w:line="240" w:lineRule="auto"/>
              <w:ind w:left="315" w:hanging="360"/>
              <w:contextualSpacing/>
              <w:rPr>
                <w:sz w:val="18"/>
                <w:szCs w:val="18"/>
              </w:rPr>
            </w:pPr>
            <w:r>
              <w:rPr>
                <w:sz w:val="18"/>
                <w:szCs w:val="18"/>
              </w:rPr>
              <w:t>School center: Math &amp; Reading skills improvement tutorials starting in the 4th grade</w:t>
            </w:r>
          </w:p>
        </w:tc>
      </w:tr>
      <w:tr w:rsidR="003E6521">
        <w:trPr>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7">
              <w:proofErr w:type="spellStart"/>
              <w:r>
                <w:rPr>
                  <w:color w:val="1155CC"/>
                  <w:sz w:val="20"/>
                  <w:szCs w:val="20"/>
                  <w:u w:val="single"/>
                </w:rPr>
                <w:t>NoveList</w:t>
              </w:r>
              <w:proofErr w:type="spellEnd"/>
              <w:r>
                <w:rPr>
                  <w:color w:val="1155CC"/>
                  <w:sz w:val="20"/>
                  <w:szCs w:val="20"/>
                  <w:u w:val="single"/>
                </w:rPr>
                <w:t xml:space="preserve"> K8+</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proofErr w:type="spellStart"/>
            <w:r>
              <w:rPr>
                <w:sz w:val="20"/>
                <w:szCs w:val="20"/>
              </w:rPr>
              <w:t>PreK</w:t>
            </w:r>
            <w:proofErr w:type="spellEnd"/>
            <w:r>
              <w:rPr>
                <w:sz w:val="20"/>
                <w:szCs w:val="20"/>
              </w:rPr>
              <w:t xml:space="preserve"> - 12</w:t>
            </w:r>
          </w:p>
        </w:tc>
        <w:tc>
          <w:tcPr>
            <w:tcW w:w="5820" w:type="dxa"/>
            <w:tcMar>
              <w:top w:w="100" w:type="dxa"/>
              <w:left w:w="100" w:type="dxa"/>
              <w:bottom w:w="100" w:type="dxa"/>
              <w:right w:w="100" w:type="dxa"/>
            </w:tcMar>
          </w:tcPr>
          <w:p w:rsidR="003E6521" w:rsidRDefault="00D46539">
            <w:pPr>
              <w:widowControl w:val="0"/>
              <w:numPr>
                <w:ilvl w:val="0"/>
                <w:numId w:val="7"/>
              </w:numPr>
              <w:spacing w:line="240" w:lineRule="auto"/>
              <w:ind w:left="315" w:hanging="360"/>
              <w:contextualSpacing/>
              <w:rPr>
                <w:sz w:val="18"/>
                <w:szCs w:val="18"/>
              </w:rPr>
            </w:pPr>
            <w:r>
              <w:rPr>
                <w:sz w:val="18"/>
                <w:szCs w:val="18"/>
              </w:rPr>
              <w:t>Find just the right book</w:t>
            </w:r>
          </w:p>
          <w:p w:rsidR="003E6521" w:rsidRDefault="00D46539">
            <w:pPr>
              <w:widowControl w:val="0"/>
              <w:numPr>
                <w:ilvl w:val="0"/>
                <w:numId w:val="7"/>
              </w:numPr>
              <w:spacing w:line="240" w:lineRule="auto"/>
              <w:ind w:left="315" w:hanging="360"/>
              <w:contextualSpacing/>
              <w:rPr>
                <w:sz w:val="18"/>
                <w:szCs w:val="18"/>
              </w:rPr>
            </w:pPr>
            <w:r>
              <w:rPr>
                <w:sz w:val="18"/>
                <w:szCs w:val="18"/>
              </w:rPr>
              <w:t>Reading lists</w:t>
            </w:r>
          </w:p>
          <w:p w:rsidR="003E6521" w:rsidRDefault="00D46539">
            <w:pPr>
              <w:widowControl w:val="0"/>
              <w:numPr>
                <w:ilvl w:val="0"/>
                <w:numId w:val="7"/>
              </w:numPr>
              <w:spacing w:line="240" w:lineRule="auto"/>
              <w:ind w:left="315" w:hanging="360"/>
              <w:contextualSpacing/>
              <w:rPr>
                <w:sz w:val="18"/>
                <w:szCs w:val="18"/>
              </w:rPr>
            </w:pPr>
            <w:r>
              <w:rPr>
                <w:sz w:val="18"/>
                <w:szCs w:val="18"/>
              </w:rPr>
              <w:t>Book reviews</w:t>
            </w:r>
          </w:p>
        </w:tc>
      </w:tr>
      <w:tr w:rsidR="003E6521">
        <w:trPr>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8">
              <w:r>
                <w:rPr>
                  <w:color w:val="1155CC"/>
                  <w:sz w:val="20"/>
                  <w:szCs w:val="20"/>
                  <w:u w:val="single"/>
                </w:rPr>
                <w:t>Research in Context</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r>
              <w:rPr>
                <w:sz w:val="20"/>
                <w:szCs w:val="20"/>
              </w:rPr>
              <w:t>6 - 8+</w:t>
            </w:r>
          </w:p>
        </w:tc>
        <w:tc>
          <w:tcPr>
            <w:tcW w:w="5820" w:type="dxa"/>
            <w:tcMar>
              <w:top w:w="100" w:type="dxa"/>
              <w:left w:w="100" w:type="dxa"/>
              <w:bottom w:w="100" w:type="dxa"/>
              <w:right w:w="100" w:type="dxa"/>
            </w:tcMar>
          </w:tcPr>
          <w:p w:rsidR="003E6521" w:rsidRDefault="00D46539">
            <w:pPr>
              <w:widowControl w:val="0"/>
              <w:numPr>
                <w:ilvl w:val="0"/>
                <w:numId w:val="8"/>
              </w:numPr>
              <w:spacing w:line="240" w:lineRule="auto"/>
              <w:ind w:left="315" w:hanging="360"/>
              <w:contextualSpacing/>
              <w:rPr>
                <w:sz w:val="18"/>
                <w:szCs w:val="18"/>
              </w:rPr>
            </w:pPr>
            <w:r>
              <w:rPr>
                <w:sz w:val="18"/>
                <w:szCs w:val="18"/>
              </w:rPr>
              <w:t>Designed to support the developing information and digital literacy skills of the average middle school student</w:t>
            </w:r>
          </w:p>
          <w:p w:rsidR="003E6521" w:rsidRDefault="00D46539">
            <w:pPr>
              <w:widowControl w:val="0"/>
              <w:numPr>
                <w:ilvl w:val="0"/>
                <w:numId w:val="8"/>
              </w:numPr>
              <w:spacing w:line="240" w:lineRule="auto"/>
              <w:ind w:left="315" w:hanging="360"/>
              <w:contextualSpacing/>
              <w:rPr>
                <w:sz w:val="18"/>
                <w:szCs w:val="18"/>
              </w:rPr>
            </w:pPr>
            <w:r>
              <w:rPr>
                <w:sz w:val="18"/>
                <w:szCs w:val="18"/>
              </w:rPr>
              <w:t>Nearly 300 topic pages</w:t>
            </w:r>
          </w:p>
          <w:p w:rsidR="003E6521" w:rsidRDefault="00D46539">
            <w:pPr>
              <w:widowControl w:val="0"/>
              <w:numPr>
                <w:ilvl w:val="0"/>
                <w:numId w:val="8"/>
              </w:numPr>
              <w:spacing w:line="240" w:lineRule="auto"/>
              <w:ind w:left="315" w:hanging="360"/>
              <w:contextualSpacing/>
              <w:rPr>
                <w:sz w:val="18"/>
                <w:szCs w:val="18"/>
              </w:rPr>
            </w:pPr>
            <w:r>
              <w:rPr>
                <w:sz w:val="18"/>
                <w:szCs w:val="18"/>
              </w:rPr>
              <w:t>750+ Science videos</w:t>
            </w:r>
          </w:p>
        </w:tc>
      </w:tr>
      <w:tr w:rsidR="003E6521">
        <w:trPr>
          <w:jc w:val="center"/>
        </w:trPr>
        <w:tc>
          <w:tcPr>
            <w:tcW w:w="2310" w:type="dxa"/>
            <w:tcMar>
              <w:top w:w="100" w:type="dxa"/>
              <w:left w:w="100" w:type="dxa"/>
              <w:bottom w:w="100" w:type="dxa"/>
              <w:right w:w="100" w:type="dxa"/>
            </w:tcMar>
            <w:vAlign w:val="center"/>
          </w:tcPr>
          <w:p w:rsidR="003E6521" w:rsidRDefault="00D46539">
            <w:pPr>
              <w:rPr>
                <w:sz w:val="20"/>
                <w:szCs w:val="20"/>
              </w:rPr>
            </w:pPr>
            <w:hyperlink r:id="rId29">
              <w:r>
                <w:rPr>
                  <w:color w:val="1155CC"/>
                  <w:sz w:val="20"/>
                  <w:szCs w:val="20"/>
                  <w:u w:val="single"/>
                </w:rPr>
                <w:t xml:space="preserve">Scholastic </w:t>
              </w:r>
              <w:proofErr w:type="spellStart"/>
              <w:r>
                <w:rPr>
                  <w:color w:val="1155CC"/>
                  <w:sz w:val="20"/>
                  <w:szCs w:val="20"/>
                  <w:u w:val="single"/>
                </w:rPr>
                <w:t>BookFL</w:t>
              </w:r>
              <w:r>
                <w:rPr>
                  <w:color w:val="1155CC"/>
                  <w:sz w:val="20"/>
                  <w:szCs w:val="20"/>
                  <w:u w:val="single"/>
                </w:rPr>
                <w:t>IX</w:t>
              </w:r>
              <w:proofErr w:type="spellEnd"/>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proofErr w:type="spellStart"/>
            <w:r>
              <w:rPr>
                <w:sz w:val="20"/>
                <w:szCs w:val="20"/>
              </w:rPr>
              <w:t>PreK</w:t>
            </w:r>
            <w:proofErr w:type="spellEnd"/>
            <w:r>
              <w:rPr>
                <w:sz w:val="20"/>
                <w:szCs w:val="20"/>
              </w:rPr>
              <w:t xml:space="preserve"> - 3</w:t>
            </w:r>
          </w:p>
        </w:tc>
        <w:tc>
          <w:tcPr>
            <w:tcW w:w="5820" w:type="dxa"/>
            <w:tcMar>
              <w:top w:w="100" w:type="dxa"/>
              <w:left w:w="100" w:type="dxa"/>
              <w:bottom w:w="100" w:type="dxa"/>
              <w:right w:w="100" w:type="dxa"/>
            </w:tcMar>
          </w:tcPr>
          <w:p w:rsidR="003E6521" w:rsidRDefault="00D46539">
            <w:pPr>
              <w:widowControl w:val="0"/>
              <w:numPr>
                <w:ilvl w:val="0"/>
                <w:numId w:val="2"/>
              </w:numPr>
              <w:spacing w:line="240" w:lineRule="auto"/>
              <w:ind w:left="315" w:hanging="360"/>
              <w:contextualSpacing/>
              <w:rPr>
                <w:sz w:val="18"/>
                <w:szCs w:val="18"/>
              </w:rPr>
            </w:pPr>
            <w:r>
              <w:rPr>
                <w:sz w:val="18"/>
                <w:szCs w:val="18"/>
              </w:rPr>
              <w:t>Interactive eBooks</w:t>
            </w:r>
          </w:p>
          <w:p w:rsidR="003E6521" w:rsidRDefault="00D46539">
            <w:pPr>
              <w:widowControl w:val="0"/>
              <w:numPr>
                <w:ilvl w:val="0"/>
                <w:numId w:val="2"/>
              </w:numPr>
              <w:spacing w:line="240" w:lineRule="auto"/>
              <w:ind w:left="315" w:hanging="360"/>
              <w:contextualSpacing/>
              <w:rPr>
                <w:sz w:val="18"/>
                <w:szCs w:val="18"/>
              </w:rPr>
            </w:pPr>
            <w:r>
              <w:rPr>
                <w:sz w:val="18"/>
                <w:szCs w:val="18"/>
              </w:rPr>
              <w:t>Pairs fiction and nonfiction texts</w:t>
            </w:r>
          </w:p>
          <w:p w:rsidR="003E6521" w:rsidRDefault="00D46539">
            <w:pPr>
              <w:widowControl w:val="0"/>
              <w:numPr>
                <w:ilvl w:val="0"/>
                <w:numId w:val="2"/>
              </w:numPr>
              <w:spacing w:line="240" w:lineRule="auto"/>
              <w:ind w:left="315" w:hanging="360"/>
              <w:contextualSpacing/>
              <w:rPr>
                <w:sz w:val="18"/>
                <w:szCs w:val="18"/>
              </w:rPr>
            </w:pPr>
            <w:r>
              <w:rPr>
                <w:sz w:val="18"/>
                <w:szCs w:val="18"/>
              </w:rPr>
              <w:t>Fiction tests are Weston Woods Videos</w:t>
            </w:r>
          </w:p>
          <w:p w:rsidR="003E6521" w:rsidRDefault="00D46539">
            <w:pPr>
              <w:widowControl w:val="0"/>
              <w:numPr>
                <w:ilvl w:val="0"/>
                <w:numId w:val="2"/>
              </w:numPr>
              <w:spacing w:line="240" w:lineRule="auto"/>
              <w:ind w:left="315" w:hanging="360"/>
              <w:contextualSpacing/>
              <w:rPr>
                <w:sz w:val="18"/>
                <w:szCs w:val="18"/>
              </w:rPr>
            </w:pPr>
            <w:r>
              <w:rPr>
                <w:sz w:val="18"/>
                <w:szCs w:val="18"/>
              </w:rPr>
              <w:t>Interactive games to help improve sequencing, vocabulary, and fact versus fiction</w:t>
            </w:r>
          </w:p>
        </w:tc>
      </w:tr>
      <w:tr w:rsidR="003E6521">
        <w:trPr>
          <w:jc w:val="center"/>
        </w:trPr>
        <w:tc>
          <w:tcPr>
            <w:tcW w:w="2310" w:type="dxa"/>
            <w:tcMar>
              <w:top w:w="100" w:type="dxa"/>
              <w:left w:w="100" w:type="dxa"/>
              <w:bottom w:w="100" w:type="dxa"/>
              <w:right w:w="100" w:type="dxa"/>
            </w:tcMar>
            <w:vAlign w:val="center"/>
          </w:tcPr>
          <w:p w:rsidR="003E6521" w:rsidRDefault="00D46539">
            <w:pPr>
              <w:rPr>
                <w:sz w:val="20"/>
                <w:szCs w:val="20"/>
              </w:rPr>
            </w:pPr>
            <w:hyperlink r:id="rId30">
              <w:r>
                <w:rPr>
                  <w:color w:val="1155CC"/>
                  <w:sz w:val="20"/>
                  <w:szCs w:val="20"/>
                  <w:u w:val="single"/>
                </w:rPr>
                <w:t>World Book for Kids</w:t>
              </w:r>
            </w:hyperlink>
          </w:p>
        </w:tc>
        <w:tc>
          <w:tcPr>
            <w:tcW w:w="1665" w:type="dxa"/>
            <w:tcMar>
              <w:top w:w="100" w:type="dxa"/>
              <w:left w:w="100" w:type="dxa"/>
              <w:bottom w:w="100" w:type="dxa"/>
              <w:right w:w="100" w:type="dxa"/>
            </w:tcMar>
            <w:vAlign w:val="center"/>
          </w:tcPr>
          <w:p w:rsidR="003E6521" w:rsidRDefault="00D46539">
            <w:pPr>
              <w:widowControl w:val="0"/>
              <w:spacing w:line="240" w:lineRule="auto"/>
              <w:jc w:val="center"/>
              <w:rPr>
                <w:sz w:val="20"/>
                <w:szCs w:val="20"/>
              </w:rPr>
            </w:pPr>
            <w:proofErr w:type="spellStart"/>
            <w:r>
              <w:rPr>
                <w:sz w:val="20"/>
                <w:szCs w:val="20"/>
              </w:rPr>
              <w:t>PreK</w:t>
            </w:r>
            <w:proofErr w:type="spellEnd"/>
            <w:r>
              <w:rPr>
                <w:sz w:val="20"/>
                <w:szCs w:val="20"/>
              </w:rPr>
              <w:t xml:space="preserve"> - 5</w:t>
            </w:r>
          </w:p>
        </w:tc>
        <w:tc>
          <w:tcPr>
            <w:tcW w:w="5820" w:type="dxa"/>
            <w:tcMar>
              <w:top w:w="100" w:type="dxa"/>
              <w:left w:w="100" w:type="dxa"/>
              <w:bottom w:w="100" w:type="dxa"/>
              <w:right w:w="100" w:type="dxa"/>
            </w:tcMar>
          </w:tcPr>
          <w:p w:rsidR="003E6521" w:rsidRDefault="00D46539">
            <w:pPr>
              <w:widowControl w:val="0"/>
              <w:numPr>
                <w:ilvl w:val="0"/>
                <w:numId w:val="4"/>
              </w:numPr>
              <w:spacing w:line="240" w:lineRule="auto"/>
              <w:ind w:left="315" w:hanging="360"/>
              <w:contextualSpacing/>
              <w:rPr>
                <w:sz w:val="18"/>
                <w:szCs w:val="18"/>
              </w:rPr>
            </w:pPr>
            <w:r>
              <w:rPr>
                <w:sz w:val="18"/>
                <w:szCs w:val="18"/>
              </w:rPr>
              <w:t>Activities and Science Projects centers</w:t>
            </w:r>
          </w:p>
          <w:p w:rsidR="003E6521" w:rsidRDefault="00D46539">
            <w:pPr>
              <w:widowControl w:val="0"/>
              <w:numPr>
                <w:ilvl w:val="0"/>
                <w:numId w:val="4"/>
              </w:numPr>
              <w:spacing w:line="240" w:lineRule="auto"/>
              <w:ind w:left="315" w:hanging="360"/>
              <w:contextualSpacing/>
              <w:rPr>
                <w:sz w:val="18"/>
                <w:szCs w:val="18"/>
              </w:rPr>
            </w:pPr>
            <w:r>
              <w:rPr>
                <w:sz w:val="18"/>
                <w:szCs w:val="18"/>
              </w:rPr>
              <w:t>Learn about people, places, animals, sports, and more</w:t>
            </w:r>
          </w:p>
          <w:p w:rsidR="003E6521" w:rsidRDefault="00D46539">
            <w:pPr>
              <w:widowControl w:val="0"/>
              <w:numPr>
                <w:ilvl w:val="0"/>
                <w:numId w:val="4"/>
              </w:numPr>
              <w:spacing w:line="240" w:lineRule="auto"/>
              <w:ind w:left="315" w:hanging="360"/>
              <w:contextualSpacing/>
              <w:rPr>
                <w:sz w:val="18"/>
                <w:szCs w:val="18"/>
              </w:rPr>
            </w:pPr>
            <w:r>
              <w:rPr>
                <w:sz w:val="18"/>
                <w:szCs w:val="18"/>
              </w:rPr>
              <w:t>Includes videos, images, maps, games</w:t>
            </w:r>
          </w:p>
          <w:p w:rsidR="003E6521" w:rsidRDefault="00D46539">
            <w:pPr>
              <w:widowControl w:val="0"/>
              <w:numPr>
                <w:ilvl w:val="0"/>
                <w:numId w:val="4"/>
              </w:numPr>
              <w:spacing w:line="240" w:lineRule="auto"/>
              <w:ind w:left="315" w:hanging="360"/>
              <w:contextualSpacing/>
              <w:rPr>
                <w:sz w:val="18"/>
                <w:szCs w:val="18"/>
              </w:rPr>
            </w:pPr>
            <w:r>
              <w:rPr>
                <w:sz w:val="18"/>
                <w:szCs w:val="18"/>
              </w:rPr>
              <w:t>Hear text read aloud</w:t>
            </w:r>
          </w:p>
        </w:tc>
      </w:tr>
    </w:tbl>
    <w:p w:rsidR="003E6521" w:rsidRDefault="003E6521">
      <w:pPr>
        <w:rPr>
          <w:sz w:val="24"/>
          <w:szCs w:val="24"/>
        </w:rPr>
      </w:pPr>
    </w:p>
    <w:sectPr w:rsidR="003E6521">
      <w:headerReference w:type="default" r:id="rId31"/>
      <w:footerReference w:type="default" r:id="rId32"/>
      <w:pgSz w:w="12240" w:h="15840"/>
      <w:pgMar w:top="1440" w:right="72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39" w:rsidRDefault="00D46539">
      <w:pPr>
        <w:spacing w:line="240" w:lineRule="auto"/>
      </w:pPr>
      <w:r>
        <w:separator/>
      </w:r>
    </w:p>
  </w:endnote>
  <w:endnote w:type="continuationSeparator" w:id="0">
    <w:p w:rsidR="00D46539" w:rsidRDefault="00D46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1" w:rsidRDefault="00D46539">
    <w:r>
      <w:t xml:space="preserve">   </w:t>
    </w:r>
    <w:r>
      <w:rPr>
        <w:noProof/>
      </w:rPr>
      <mc:AlternateContent>
        <mc:Choice Requires="wps">
          <w:drawing>
            <wp:inline distT="114300" distB="114300" distL="114300" distR="114300">
              <wp:extent cx="5943600" cy="623395"/>
              <wp:effectExtent l="0" t="0" r="0" b="0"/>
              <wp:docPr id="7" name="Text Box 7"/>
              <wp:cNvGraphicFramePr/>
              <a:graphic xmlns:a="http://schemas.openxmlformats.org/drawingml/2006/main">
                <a:graphicData uri="http://schemas.microsoft.com/office/word/2010/wordprocessingShape">
                  <wps:wsp>
                    <wps:cNvSpPr txBox="1"/>
                    <wps:spPr>
                      <a:xfrm>
                        <a:off x="104775" y="876300"/>
                        <a:ext cx="6610500" cy="676200"/>
                      </a:xfrm>
                      <a:prstGeom prst="rect">
                        <a:avLst/>
                      </a:prstGeom>
                      <a:noFill/>
                      <a:ln>
                        <a:noFill/>
                      </a:ln>
                    </wps:spPr>
                    <wps:txbx>
                      <w:txbxContent>
                        <w:p w:rsidR="003E6521" w:rsidRDefault="00D46539">
                          <w:pPr>
                            <w:spacing w:line="240" w:lineRule="auto"/>
                            <w:textDirection w:val="btLr"/>
                          </w:pPr>
                          <w:r>
                            <w:rPr>
                              <w:sz w:val="20"/>
                            </w:rPr>
                            <w:t xml:space="preserve">The Michigan </w:t>
                          </w:r>
                          <w:proofErr w:type="spellStart"/>
                          <w:r>
                            <w:rPr>
                              <w:sz w:val="20"/>
                            </w:rPr>
                            <w:t>eLibrary</w:t>
                          </w:r>
                          <w:proofErr w:type="spellEnd"/>
                          <w:r>
                            <w:rPr>
                              <w:sz w:val="20"/>
                            </w:rPr>
                            <w:t xml:space="preserve"> is a program of the Library of Michigan and part of the Michigan Department of Education.  It is funded by the Federal Library Services and Technology Act (LSTA) via the Institute of Museum and Library Services (IMLS), with additional</w:t>
                          </w:r>
                          <w:r>
                            <w:rPr>
                              <w:sz w:val="20"/>
                            </w:rPr>
                            <w:t xml:space="preserve"> funding provided by the State of Michigan.</w:t>
                          </w: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68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" filled="f" stroked="f">
              <v:textbox inset="2.53958mm,2.53958mm,2.53958mm,2.53958mm">
                <w:txbxContent>
                  <w:p w:rsidR="003E6521" w:rsidRDefault="00D46539">
                    <w:pPr>
                      <w:spacing w:line="240" w:lineRule="auto"/>
                      <w:textDirection w:val="btLr"/>
                    </w:pPr>
                    <w:r>
                      <w:rPr>
                        <w:sz w:val="20"/>
                      </w:rPr>
                      <w:t xml:space="preserve">The Michigan </w:t>
                    </w:r>
                    <w:proofErr w:type="spellStart"/>
                    <w:r>
                      <w:rPr>
                        <w:sz w:val="20"/>
                      </w:rPr>
                      <w:t>eLibrary</w:t>
                    </w:r>
                    <w:proofErr w:type="spellEnd"/>
                    <w:r>
                      <w:rPr>
                        <w:sz w:val="20"/>
                      </w:rPr>
                      <w:t xml:space="preserve"> is a program of the Library of Michigan and part of the Michigan Department of Education.  It is funded by the Federal Library Services and Technology Act (LSTA) via the Institute of Museum and Library Services (IMLS), with additional</w:t>
                    </w:r>
                    <w:r>
                      <w:rPr>
                        <w:sz w:val="20"/>
                      </w:rPr>
                      <w:t xml:space="preserve"> funding provided by the State of Michigan.</w:t>
                    </w:r>
                  </w:p>
                </w:txbxContent>
              </v:textbox>
              <w10:anchorlock/>
            </v:shape>
          </w:pict>
        </mc:Fallback>
      </mc:AlternateContent>
    </w:r>
    <w:r>
      <w:rPr>
        <w:noProof/>
      </w:rPr>
      <w:drawing>
        <wp:anchor distT="114300" distB="114300" distL="114300" distR="114300" simplePos="0" relativeHeight="251660288" behindDoc="0" locked="0" layoutInCell="0" hidden="0" allowOverlap="1">
          <wp:simplePos x="0" y="0"/>
          <wp:positionH relativeFrom="margin">
            <wp:posOffset>2266950</wp:posOffset>
          </wp:positionH>
          <wp:positionV relativeFrom="paragraph">
            <wp:posOffset>28575</wp:posOffset>
          </wp:positionV>
          <wp:extent cx="995363" cy="506413"/>
          <wp:effectExtent l="0" t="0" r="0" b="0"/>
          <wp:wrapSquare wrapText="bothSides" distT="114300" distB="114300" distL="114300" distR="114300"/>
          <wp:docPr id="2" name="image7.jpg" descr="download (1).jpg"/>
          <wp:cNvGraphicFramePr/>
          <a:graphic xmlns:a="http://schemas.openxmlformats.org/drawingml/2006/main">
            <a:graphicData uri="http://schemas.openxmlformats.org/drawingml/2006/picture">
              <pic:pic xmlns:pic="http://schemas.openxmlformats.org/drawingml/2006/picture">
                <pic:nvPicPr>
                  <pic:cNvPr id="0" name="image7.jpg" descr="download (1).jpg"/>
                  <pic:cNvPicPr preferRelativeResize="0"/>
                </pic:nvPicPr>
                <pic:blipFill>
                  <a:blip r:embed="rId1"/>
                  <a:srcRect t="18604" b="13953"/>
                  <a:stretch>
                    <a:fillRect/>
                  </a:stretch>
                </pic:blipFill>
                <pic:spPr>
                  <a:xfrm>
                    <a:off x="0" y="0"/>
                    <a:ext cx="995363" cy="506413"/>
                  </a:xfrm>
                  <a:prstGeom prst="rect">
                    <a:avLst/>
                  </a:prstGeom>
                  <a:ln/>
                </pic:spPr>
              </pic:pic>
            </a:graphicData>
          </a:graphic>
        </wp:anchor>
      </w:drawing>
    </w:r>
    <w:r>
      <w:rPr>
        <w:noProof/>
      </w:rPr>
      <w:drawing>
        <wp:anchor distT="19050" distB="19050" distL="19050" distR="19050" simplePos="0" relativeHeight="251661312" behindDoc="0" locked="0" layoutInCell="0" hidden="0" allowOverlap="1">
          <wp:simplePos x="0" y="0"/>
          <wp:positionH relativeFrom="margin">
            <wp:posOffset>4981575</wp:posOffset>
          </wp:positionH>
          <wp:positionV relativeFrom="paragraph">
            <wp:posOffset>90488</wp:posOffset>
          </wp:positionV>
          <wp:extent cx="1246823" cy="566738"/>
          <wp:effectExtent l="0" t="0" r="0" b="0"/>
          <wp:wrapSquare wrapText="bothSides" distT="19050" distB="19050" distL="19050" distR="1905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246823" cy="566738"/>
                  </a:xfrm>
                  <a:prstGeom prst="rect">
                    <a:avLst/>
                  </a:prstGeom>
                  <a:ln/>
                </pic:spPr>
              </pic:pic>
            </a:graphicData>
          </a:graphic>
        </wp:anchor>
      </w:drawing>
    </w:r>
    <w:r>
      <w:rPr>
        <w:noProof/>
      </w:rPr>
      <w:drawing>
        <wp:anchor distT="19050" distB="19050" distL="19050" distR="19050" simplePos="0" relativeHeight="251662336" behindDoc="0" locked="0" layoutInCell="0" hidden="0" allowOverlap="1">
          <wp:simplePos x="0" y="0"/>
          <wp:positionH relativeFrom="margin">
            <wp:posOffset>-352424</wp:posOffset>
          </wp:positionH>
          <wp:positionV relativeFrom="paragraph">
            <wp:posOffset>71438</wp:posOffset>
          </wp:positionV>
          <wp:extent cx="704850" cy="622618"/>
          <wp:effectExtent l="0" t="0" r="0" b="0"/>
          <wp:wrapSquare wrapText="bothSides" distT="19050" distB="19050" distL="19050" distR="19050"/>
          <wp:docPr id="5" name="image11.gif" descr="Crisp%20purple%20logo%20Large.gif"/>
          <wp:cNvGraphicFramePr/>
          <a:graphic xmlns:a="http://schemas.openxmlformats.org/drawingml/2006/main">
            <a:graphicData uri="http://schemas.openxmlformats.org/drawingml/2006/picture">
              <pic:pic xmlns:pic="http://schemas.openxmlformats.org/drawingml/2006/picture">
                <pic:nvPicPr>
                  <pic:cNvPr id="0" name="image11.gif" descr="Crisp%20purple%20logo%20Large.gif"/>
                  <pic:cNvPicPr preferRelativeResize="0"/>
                </pic:nvPicPr>
                <pic:blipFill>
                  <a:blip r:embed="rId3"/>
                  <a:srcRect/>
                  <a:stretch>
                    <a:fillRect/>
                  </a:stretch>
                </pic:blipFill>
                <pic:spPr>
                  <a:xfrm>
                    <a:off x="0" y="0"/>
                    <a:ext cx="704850" cy="62261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39" w:rsidRDefault="00D46539">
      <w:pPr>
        <w:spacing w:line="240" w:lineRule="auto"/>
      </w:pPr>
      <w:r>
        <w:separator/>
      </w:r>
    </w:p>
  </w:footnote>
  <w:footnote w:type="continuationSeparator" w:id="0">
    <w:p w:rsidR="00D46539" w:rsidRDefault="00D46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1" w:rsidRDefault="00D46539">
    <w:pPr>
      <w:jc w:val="center"/>
    </w:pPr>
    <w:r>
      <w:rPr>
        <w:noProof/>
      </w:rPr>
      <w:drawing>
        <wp:anchor distT="114300" distB="114300" distL="114300" distR="114300" simplePos="0" relativeHeight="251658240" behindDoc="0" locked="0" layoutInCell="0" hidden="0" allowOverlap="1">
          <wp:simplePos x="0" y="0"/>
          <wp:positionH relativeFrom="margin">
            <wp:posOffset>5267325</wp:posOffset>
          </wp:positionH>
          <wp:positionV relativeFrom="paragraph">
            <wp:posOffset>0</wp:posOffset>
          </wp:positionV>
          <wp:extent cx="1104265" cy="704850"/>
          <wp:effectExtent l="0" t="0" r="0" b="0"/>
          <wp:wrapSquare wrapText="bothSides" distT="114300" distB="11430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104265" cy="704850"/>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-571499</wp:posOffset>
          </wp:positionH>
          <wp:positionV relativeFrom="paragraph">
            <wp:posOffset>0</wp:posOffset>
          </wp:positionV>
          <wp:extent cx="1343025" cy="702746"/>
          <wp:effectExtent l="0" t="0" r="0" b="0"/>
          <wp:wrapSquare wrapText="bothSides" distT="114300" distB="114300" distL="114300" distR="114300"/>
          <wp:docPr id="3" name="image8.png" descr="Michigan-eLibrary-Logo.png"/>
          <wp:cNvGraphicFramePr/>
          <a:graphic xmlns:a="http://schemas.openxmlformats.org/drawingml/2006/main">
            <a:graphicData uri="http://schemas.openxmlformats.org/drawingml/2006/picture">
              <pic:pic xmlns:pic="http://schemas.openxmlformats.org/drawingml/2006/picture">
                <pic:nvPicPr>
                  <pic:cNvPr id="0" name="image8.png" descr="Michigan-eLibrary-Logo.png"/>
                  <pic:cNvPicPr preferRelativeResize="0"/>
                </pic:nvPicPr>
                <pic:blipFill>
                  <a:blip r:embed="rId2"/>
                  <a:srcRect/>
                  <a:stretch>
                    <a:fillRect/>
                  </a:stretch>
                </pic:blipFill>
                <pic:spPr>
                  <a:xfrm>
                    <a:off x="0" y="0"/>
                    <a:ext cx="1343025" cy="702746"/>
                  </a:xfrm>
                  <a:prstGeom prst="rect">
                    <a:avLst/>
                  </a:prstGeom>
                  <a:ln/>
                </pic:spPr>
              </pic:pic>
            </a:graphicData>
          </a:graphic>
        </wp:anchor>
      </w:drawing>
    </w:r>
  </w:p>
  <w:p w:rsidR="003E6521" w:rsidRDefault="003E6521">
    <w:pPr>
      <w:jc w:val="center"/>
    </w:pPr>
  </w:p>
  <w:p w:rsidR="003E6521" w:rsidRDefault="00D46539">
    <w:pPr>
      <w:pStyle w:val="Heading1"/>
      <w:spacing w:before="0" w:after="0" w:line="240" w:lineRule="auto"/>
      <w:contextualSpacing w:val="0"/>
      <w:jc w:val="center"/>
      <w:rPr>
        <w:b/>
        <w:color w:val="674EA7"/>
        <w:sz w:val="28"/>
        <w:szCs w:val="28"/>
      </w:rPr>
    </w:pPr>
    <w:bookmarkStart w:id="1" w:name="_gecm325ixbkv" w:colFirst="0" w:colLast="0"/>
    <w:bookmarkEnd w:id="1"/>
    <w:r>
      <w:rPr>
        <w:b/>
        <w:color w:val="674EA7"/>
        <w:sz w:val="28"/>
        <w:szCs w:val="28"/>
      </w:rPr>
      <w:t>Free Online Resources to Help Michigan</w:t>
    </w:r>
  </w:p>
  <w:p w:rsidR="003E6521" w:rsidRDefault="00D46539">
    <w:pPr>
      <w:pStyle w:val="Heading1"/>
      <w:spacing w:before="0" w:after="0" w:line="240" w:lineRule="auto"/>
      <w:contextualSpacing w:val="0"/>
      <w:jc w:val="center"/>
    </w:pPr>
    <w:bookmarkStart w:id="2" w:name="_frtp7z42qpie" w:colFirst="0" w:colLast="0"/>
    <w:bookmarkEnd w:id="2"/>
    <w:r>
      <w:rPr>
        <w:b/>
        <w:color w:val="674EA7"/>
        <w:sz w:val="28"/>
        <w:szCs w:val="28"/>
      </w:rPr>
      <w:t xml:space="preserve"> “Build a Better World” This Summer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D9F"/>
    <w:multiLevelType w:val="multilevel"/>
    <w:tmpl w:val="0EF66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366D96"/>
    <w:multiLevelType w:val="multilevel"/>
    <w:tmpl w:val="DAD24F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4D3C3C"/>
    <w:multiLevelType w:val="multilevel"/>
    <w:tmpl w:val="2AB02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11068BD"/>
    <w:multiLevelType w:val="multilevel"/>
    <w:tmpl w:val="EE747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7F618FC"/>
    <w:multiLevelType w:val="multilevel"/>
    <w:tmpl w:val="8130AF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BC070DC"/>
    <w:multiLevelType w:val="multilevel"/>
    <w:tmpl w:val="01824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865673"/>
    <w:multiLevelType w:val="multilevel"/>
    <w:tmpl w:val="8EB07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7317D52"/>
    <w:multiLevelType w:val="multilevel"/>
    <w:tmpl w:val="2CC04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21"/>
    <w:rsid w:val="003E6521"/>
    <w:rsid w:val="00CE3EB8"/>
    <w:rsid w:val="00D46539"/>
    <w:rsid w:val="00EB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B97B7-BF85-4F89-BF3F-DE1186BB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siX4lmeyL4D3MnA_kj9ylXIkyl5CtyNq" TargetMode="External"/><Relationship Id="rId13" Type="http://schemas.openxmlformats.org/officeDocument/2006/relationships/hyperlink" Target="http://teens.mel.org/" TargetMode="External"/><Relationship Id="rId18" Type="http://schemas.openxmlformats.org/officeDocument/2006/relationships/hyperlink" Target="http://www.galesupport.com/migeoipcheck/migeoipcheck-brit.php?database=BRLEARNZONE" TargetMode="External"/><Relationship Id="rId26" Type="http://schemas.openxmlformats.org/officeDocument/2006/relationships/hyperlink" Target="http://galesupport.com/migeoipcheck/migeoipcheck-lxpress3.php?database=MAIN" TargetMode="External"/><Relationship Id="rId3" Type="http://schemas.openxmlformats.org/officeDocument/2006/relationships/settings" Target="settings.xml"/><Relationship Id="rId21" Type="http://schemas.openxmlformats.org/officeDocument/2006/relationships/hyperlink" Target="http://www.galesupport.com/migeoipcheck/migeoipcheck-brit.php?database=BRHIGH" TargetMode="External"/><Relationship Id="rId34" Type="http://schemas.openxmlformats.org/officeDocument/2006/relationships/theme" Target="theme/theme1.xml"/><Relationship Id="rId7" Type="http://schemas.openxmlformats.org/officeDocument/2006/relationships/hyperlink" Target="http://mel.org/" TargetMode="External"/><Relationship Id="rId12" Type="http://schemas.openxmlformats.org/officeDocument/2006/relationships/hyperlink" Target="http://teens.mel.org/" TargetMode="External"/><Relationship Id="rId17" Type="http://schemas.openxmlformats.org/officeDocument/2006/relationships/hyperlink" Target="http://www.galesupport.com/migeoipcheck/migeoipcheck-brit.php?database=BRSCHOOL" TargetMode="External"/><Relationship Id="rId25" Type="http://schemas.openxmlformats.org/officeDocument/2006/relationships/hyperlink" Target="http://www.galesupport.com/migeoipcheck/migeoipcheck-gale.php?database=ITK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galesupport.com/migeoipcheck/migeoipcheck-brit.php?database=BRMDDL" TargetMode="External"/><Relationship Id="rId29" Type="http://schemas.openxmlformats.org/officeDocument/2006/relationships/hyperlink" Target="http://galesupport.com/migeoipcheck/migeoipcheck-scholastic.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mel.org/" TargetMode="External"/><Relationship Id="rId24" Type="http://schemas.openxmlformats.org/officeDocument/2006/relationships/hyperlink" Target="http://galesupport.com/migeoipcheck/migeoipcheck-ebsco.php?database=EBK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el.org/databases" TargetMode="External"/><Relationship Id="rId23" Type="http://schemas.openxmlformats.org/officeDocument/2006/relationships/hyperlink" Target="http://galesupport.com/migeoipcheck/migeoipcheck-ebsco.php?database=EBOOK" TargetMode="External"/><Relationship Id="rId28" Type="http://schemas.openxmlformats.org/officeDocument/2006/relationships/hyperlink" Target="http://www.galesupport.com/migeoipcheck/migeoipcheck-gale.php?database=MSIC" TargetMode="External"/><Relationship Id="rId10" Type="http://schemas.openxmlformats.org/officeDocument/2006/relationships/hyperlink" Target="http://kids.mel.org/" TargetMode="External"/><Relationship Id="rId19" Type="http://schemas.openxmlformats.org/officeDocument/2006/relationships/hyperlink" Target="http://www.galesupport.com/migeoipcheck/migeoipcheck-brit.php?database=BRELE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DC4Be" TargetMode="External"/><Relationship Id="rId14" Type="http://schemas.openxmlformats.org/officeDocument/2006/relationships/hyperlink" Target="http://mel.org/databases" TargetMode="External"/><Relationship Id="rId22" Type="http://schemas.openxmlformats.org/officeDocument/2006/relationships/hyperlink" Target="http://worldbookonline.com/ewol/home?subacct=O6106" TargetMode="External"/><Relationship Id="rId27" Type="http://schemas.openxmlformats.org/officeDocument/2006/relationships/hyperlink" Target="http://galesupport.com/migeoipcheck/migeoipcheck-ebsco.php?database=NOVEL" TargetMode="External"/><Relationship Id="rId30" Type="http://schemas.openxmlformats.org/officeDocument/2006/relationships/hyperlink" Target="http://www.worldbookonline.com/kids/home?subacct=O6106"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Zielinski, Stephen</dc:creator>
  <cp:lastModifiedBy>steve zielinski</cp:lastModifiedBy>
  <cp:revision>2</cp:revision>
  <dcterms:created xsi:type="dcterms:W3CDTF">2017-05-19T14:25:00Z</dcterms:created>
  <dcterms:modified xsi:type="dcterms:W3CDTF">2017-05-19T14:25:00Z</dcterms:modified>
</cp:coreProperties>
</file>